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  <w:shd w:val="clear" w:fill="FFFFFF"/>
        </w:rPr>
        <w:t>金融领域“黑灰产”违法犯罪打击治理是一项系统工程，既需要公安机关依法严厉打击，也需要各金融机构落实共管共治主体责任，更需要广大群众主动参与防范治理，持续推动综合治理，切实维护金融安全、社会稳定和人民安宁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b/>
          <w:bCs w:val="0"/>
          <w:i w:val="0"/>
          <w:caps w:val="0"/>
          <w:color w:val="auto"/>
          <w:spacing w:val="8"/>
          <w:sz w:val="32"/>
          <w:szCs w:val="32"/>
          <w:shd w:val="clear" w:fill="FFFFFF"/>
        </w:rPr>
        <w:t>一是选择正规金融渠道。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  <w:shd w:val="clear" w:fill="FFFFFF"/>
        </w:rPr>
        <w:t>消费者要根据自身金融服务需求，通过正规金融机构办理金融业务，可通过监管部门官方网站查询相关许可证信息，审慎判断相关经营主体是否具备金融业务资质；也可以通过微信小程序“金融产品查询平台”，金融机构官网、官方APP或拨打官方客服热线验证产品真实性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b/>
          <w:bCs w:val="0"/>
          <w:i w:val="0"/>
          <w:caps w:val="0"/>
          <w:color w:val="auto"/>
          <w:spacing w:val="8"/>
          <w:sz w:val="32"/>
          <w:szCs w:val="32"/>
          <w:shd w:val="clear" w:fill="FFFFFF"/>
        </w:rPr>
        <w:t>二是防范非法中介侵害。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  <w:shd w:val="clear" w:fill="FFFFFF"/>
        </w:rPr>
        <w:t>非法金融中介往往以“金融服务”为幌子，非法从事金融咨询、代理、担保、贷款等业务活动。消费者要仔细查看金融合同、收费服务条款内容，警惕先收费后服务、“无条件放款”以及转账至私人账户等要求，严防不法分子利用“背债人”骗贷，对网络渠道发布的“债务优化”“债务减免”“征信修复”“代理维权”等信息要擦亮眼睛，识别有关套路陷阱，保护个人信息、征信和财产安全。公安机关和金融管理部门将利用线上线下多种渠道，持续普及防范知识，揭露犯罪手法，提升群众识别和抵御风险的能力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7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b/>
          <w:bCs w:val="0"/>
          <w:i w:val="0"/>
          <w:caps w:val="0"/>
          <w:color w:val="auto"/>
          <w:spacing w:val="8"/>
          <w:sz w:val="32"/>
          <w:szCs w:val="32"/>
          <w:shd w:val="clear" w:fill="FFFFFF"/>
        </w:rPr>
        <w:t>三是共筑打击治理防线。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8"/>
          <w:sz w:val="32"/>
          <w:szCs w:val="32"/>
          <w:shd w:val="clear" w:fill="FFFFFF"/>
        </w:rPr>
        <w:t>防范打击非法金融中介活动，需要全社会共同织密“防护网”。广大群众要提高警惕，积极向家人、朋友宣传防范知识，自觉抵制非法金融中介活动，发现可疑线索，及时向当地公安机关、金融管理部门举报，通过正规途径向相关金融机构依法维权。大家每一次举报，都是对犯罪的有力打击，也是对群众财产安全的有效保护。全省公安机关将与金融管理部门通力协作，与社会各界同向发力，始终保持对金融领域“黑灰产”的高压严打态势，坚决斩断违法犯罪链条，以良法善治有效维护市场经济秩序和国家经济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0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AB2143"/>
    <w:rsid w:val="CBEE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2025-12-23T18:08:00Z</dcterms:created>
  <dc:creator>Administrator</dc:creator>
  <cp:lastModifiedBy>高琳</cp:lastModifiedBy>
  <dcterms:modified xsi:type="dcterms:W3CDTF">2025-12-23T18:42:01Z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84A910E202A65C42F9714A690BA84111</vt:lpwstr>
  </property>
</Properties>
</file>